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0B" w:rsidRPr="00D338A6" w:rsidRDefault="00821A0B" w:rsidP="00821A0B">
      <w:pPr>
        <w:pStyle w:val="Default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REPORTS</w:t>
      </w:r>
      <w:r w:rsidRPr="00661F40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NEEDED</w:t>
      </w:r>
      <w:r w:rsidRPr="00661F40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TO</w:t>
      </w:r>
      <w:r w:rsidRPr="00661F40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SUPPORT</w:t>
      </w:r>
      <w:r w:rsidRPr="00661F40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INVESTMENT</w:t>
      </w:r>
      <w:r w:rsidRPr="00661F40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 xml:space="preserve">PLANS TO BE FINANCED BY </w:t>
      </w:r>
      <w:proofErr w:type="gramStart"/>
      <w:r>
        <w:rPr>
          <w:rFonts w:ascii="Calibri" w:hAnsi="Calibri" w:cs="Calibri"/>
          <w:b/>
          <w:lang w:val="en-US"/>
        </w:rPr>
        <w:t>THE</w:t>
      </w:r>
      <w:r w:rsidRPr="00661F40">
        <w:rPr>
          <w:rFonts w:ascii="Calibri" w:hAnsi="Calibri" w:cs="Calibri"/>
          <w:b/>
          <w:lang w:val="en-US"/>
        </w:rPr>
        <w:t xml:space="preserve"> </w:t>
      </w:r>
      <w:r w:rsidRPr="00D338A6">
        <w:rPr>
          <w:rFonts w:ascii="Calibri" w:hAnsi="Calibri" w:cs="Calibri"/>
          <w:b/>
          <w:lang w:val="en-US"/>
        </w:rPr>
        <w:t xml:space="preserve"> RECOVERY</w:t>
      </w:r>
      <w:proofErr w:type="gramEnd"/>
      <w:r w:rsidRPr="00D338A6">
        <w:rPr>
          <w:rFonts w:ascii="Calibri" w:hAnsi="Calibri" w:cs="Calibri"/>
          <w:b/>
          <w:lang w:val="en-US"/>
        </w:rPr>
        <w:t xml:space="preserve"> AND RESILIENCE FACILITY (</w:t>
      </w:r>
      <w:r>
        <w:rPr>
          <w:rFonts w:ascii="Calibri" w:hAnsi="Calibri" w:cs="Calibri"/>
          <w:b/>
          <w:lang w:val="en-US"/>
        </w:rPr>
        <w:t>RRF)</w:t>
      </w:r>
    </w:p>
    <w:p w:rsidR="00821A0B" w:rsidRPr="00021EF7" w:rsidRDefault="00821A0B" w:rsidP="00821A0B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 xml:space="preserve">Our firm is carrying out the following reports which are required by the </w:t>
      </w:r>
      <w:proofErr w:type="spellStart"/>
      <w:r>
        <w:rPr>
          <w:rFonts w:ascii="Calibri" w:hAnsi="Calibri" w:cs="Calibri"/>
          <w:lang w:val="en-US"/>
        </w:rPr>
        <w:t>InvetEU</w:t>
      </w:r>
      <w:proofErr w:type="spellEnd"/>
      <w:r>
        <w:rPr>
          <w:rFonts w:ascii="Calibri" w:hAnsi="Calibri" w:cs="Calibri"/>
          <w:lang w:val="en-US"/>
        </w:rPr>
        <w:t xml:space="preserve"> and Recovery and Resilience Facility regulation in order to take loans:</w:t>
      </w:r>
    </w:p>
    <w:p w:rsidR="00821A0B" w:rsidRPr="00021EF7" w:rsidRDefault="00821A0B" w:rsidP="00821A0B">
      <w:pPr>
        <w:rPr>
          <w:rFonts w:ascii="Calibri" w:hAnsi="Calibri" w:cs="Calibri"/>
          <w:b/>
          <w:lang w:val="en-US"/>
        </w:rPr>
      </w:pPr>
      <w:r w:rsidRPr="0092788B">
        <w:rPr>
          <w:rFonts w:ascii="Calibri" w:hAnsi="Calibri" w:cs="Calibri"/>
          <w:b/>
        </w:rPr>
        <w:t>Α</w:t>
      </w:r>
      <w:r w:rsidRPr="00021EF7">
        <w:rPr>
          <w:rFonts w:ascii="Calibri" w:hAnsi="Calibri" w:cs="Calibri"/>
          <w:b/>
          <w:lang w:val="en-US"/>
        </w:rPr>
        <w:t xml:space="preserve">. </w:t>
      </w:r>
      <w:r>
        <w:rPr>
          <w:rFonts w:ascii="Calibri" w:hAnsi="Calibri" w:cs="Calibri"/>
          <w:b/>
          <w:lang w:val="en-US"/>
        </w:rPr>
        <w:t>The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investment cost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is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greater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than</w:t>
      </w:r>
      <w:r w:rsidRPr="00021EF7">
        <w:rPr>
          <w:rFonts w:ascii="Calibri" w:hAnsi="Calibri" w:cs="Calibri"/>
          <w:b/>
          <w:lang w:val="en-US"/>
        </w:rPr>
        <w:t xml:space="preserve"> 10 </w:t>
      </w:r>
      <w:r>
        <w:rPr>
          <w:rFonts w:ascii="Calibri" w:hAnsi="Calibri" w:cs="Calibri"/>
          <w:b/>
          <w:lang w:val="en-US"/>
        </w:rPr>
        <w:t>million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euros</w:t>
      </w:r>
      <w:r w:rsidRPr="00021EF7">
        <w:rPr>
          <w:rFonts w:ascii="Calibri" w:hAnsi="Calibri" w:cs="Calibri"/>
          <w:b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lang w:val="en-US"/>
        </w:rPr>
        <w:t>exclucive</w:t>
      </w:r>
      <w:proofErr w:type="spellEnd"/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VAT</w:t>
      </w:r>
      <w:r w:rsidRPr="00021EF7">
        <w:rPr>
          <w:rFonts w:ascii="Calibri" w:hAnsi="Calibri" w:cs="Calibri"/>
          <w:b/>
          <w:lang w:val="en-US"/>
        </w:rPr>
        <w:t>)</w:t>
      </w:r>
    </w:p>
    <w:tbl>
      <w:tblPr>
        <w:tblW w:w="8284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161"/>
        <w:gridCol w:w="3618"/>
      </w:tblGrid>
      <w:tr w:rsidR="00821A0B" w:rsidRPr="0092788B" w:rsidTr="00B21485">
        <w:trPr>
          <w:trHeight w:val="45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A0B" w:rsidRPr="00021EF7" w:rsidRDefault="00821A0B" w:rsidP="00B2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4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A0B" w:rsidRPr="00E83E7E" w:rsidRDefault="00821A0B" w:rsidP="00B2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  <w:t>Required Reports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1A0B" w:rsidRPr="006F0865" w:rsidRDefault="00821A0B" w:rsidP="00B2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  <w:t>Remarks</w:t>
            </w:r>
          </w:p>
        </w:tc>
      </w:tr>
      <w:tr w:rsidR="00821A0B" w:rsidRPr="006F0865" w:rsidTr="00B21485">
        <w:trPr>
          <w:trHeight w:val="765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92788B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4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report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by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an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expert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consultant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engineer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which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proves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that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project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is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complying and it is consistent with the applicable European and National Environmental legislation 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A0B" w:rsidRPr="00E83E7E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It is carried out usually within 1 or 2 weeks depending on the data of the project provided by the investor.</w:t>
            </w:r>
          </w:p>
        </w:tc>
      </w:tr>
      <w:tr w:rsidR="00821A0B" w:rsidRPr="002E229D" w:rsidTr="00B21485">
        <w:trPr>
          <w:trHeight w:val="76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956CDD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Environmental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Impact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Assessment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EIA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)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study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by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expert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consultants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engineers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A0B" w:rsidRPr="002E229D" w:rsidRDefault="00821A0B" w:rsidP="00B21485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carry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out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of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this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study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lasts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usually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1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to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3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months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depending on the project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complexitiy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, the conditions of the ambient environment and the design maturity of the project. Moreover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due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time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is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needed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to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issuance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of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Environmental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Permit by competent authorities. However, the EIA and the Environmental Permit are not needed for the application to get finance but in a later stage.</w:t>
            </w:r>
          </w:p>
        </w:tc>
      </w:tr>
      <w:tr w:rsidR="00821A0B" w:rsidRPr="006E7EE1" w:rsidTr="00B21485">
        <w:trPr>
          <w:trHeight w:val="51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92788B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The </w:t>
            </w:r>
            <w:r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Do No Significant Harm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(</w:t>
            </w:r>
            <w:r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DNSH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)</w:t>
            </w:r>
            <w:r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principle application report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A0B" w:rsidRPr="00E83E7E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It is carried out usually within 1 or 2 weeks depending on the data of the project provided by the investor.</w:t>
            </w:r>
          </w:p>
        </w:tc>
      </w:tr>
      <w:tr w:rsidR="00821A0B" w:rsidRPr="006E7EE1" w:rsidTr="00B21485">
        <w:trPr>
          <w:trHeight w:val="127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92788B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E7252D" w:rsidP="00E7252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S</w:t>
            </w:r>
            <w:r w:rsidR="00821A0B"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ustainability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P</w:t>
            </w:r>
            <w:r w:rsidR="00821A0B"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roofing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report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carried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out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by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expert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consultants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engineers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according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to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climatic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and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environmental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dimensions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as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described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in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E7252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 w:rsidR="00821A0B"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2021/C 280/01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regulation of the EU concerning the technical guidance on the sustainability control for the </w:t>
            </w:r>
            <w:proofErr w:type="spellStart"/>
            <w:r w:rsidR="00821A0B"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InvestEU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funds.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A0B" w:rsidRPr="00E83E7E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It is carried out usually within 1 or 2 weeks in parallel with report 1, depending on the data of the project provided by the investor.</w:t>
            </w:r>
          </w:p>
        </w:tc>
      </w:tr>
      <w:tr w:rsidR="00821A0B" w:rsidRPr="006E7EE1" w:rsidTr="00B21485">
        <w:trPr>
          <w:trHeight w:val="25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92788B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33893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 summary of the Sustainability Proofing report</w:t>
            </w:r>
            <w:bookmarkStart w:id="0" w:name="_GoBack"/>
            <w:bookmarkEnd w:id="0"/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A0B" w:rsidRPr="00E83E7E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It is carried out usually within 1 or 2 weeks in parallel with report 1, depending on the data of the project provided by the investor.</w:t>
            </w:r>
          </w:p>
        </w:tc>
      </w:tr>
    </w:tbl>
    <w:p w:rsidR="00821A0B" w:rsidRDefault="00821A0B" w:rsidP="00821A0B">
      <w:pPr>
        <w:rPr>
          <w:rFonts w:ascii="Calibri" w:hAnsi="Calibri" w:cs="Calibri"/>
          <w:lang w:val="en-US"/>
        </w:rPr>
      </w:pPr>
    </w:p>
    <w:p w:rsidR="00821A0B" w:rsidRPr="00021EF7" w:rsidRDefault="00821A0B" w:rsidP="00821A0B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>Β</w:t>
      </w:r>
      <w:r w:rsidRPr="00AD0BDC">
        <w:rPr>
          <w:rFonts w:ascii="Calibri" w:hAnsi="Calibri" w:cs="Calibri"/>
          <w:b/>
          <w:lang w:val="en-US"/>
        </w:rPr>
        <w:t xml:space="preserve">. </w:t>
      </w:r>
      <w:r>
        <w:rPr>
          <w:rFonts w:ascii="Calibri" w:hAnsi="Calibri" w:cs="Calibri"/>
          <w:b/>
          <w:lang w:val="en-US"/>
        </w:rPr>
        <w:t>The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investment cost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is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less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than</w:t>
      </w:r>
      <w:r w:rsidRPr="00021EF7">
        <w:rPr>
          <w:rFonts w:ascii="Calibri" w:hAnsi="Calibri" w:cs="Calibri"/>
          <w:b/>
          <w:lang w:val="en-US"/>
        </w:rPr>
        <w:t xml:space="preserve"> 10 </w:t>
      </w:r>
      <w:r>
        <w:rPr>
          <w:rFonts w:ascii="Calibri" w:hAnsi="Calibri" w:cs="Calibri"/>
          <w:b/>
          <w:lang w:val="en-US"/>
        </w:rPr>
        <w:t>million</w:t>
      </w:r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euros</w:t>
      </w:r>
      <w:r w:rsidRPr="00021EF7">
        <w:rPr>
          <w:rFonts w:ascii="Calibri" w:hAnsi="Calibri" w:cs="Calibri"/>
          <w:b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lang w:val="en-US"/>
        </w:rPr>
        <w:t>exclucive</w:t>
      </w:r>
      <w:proofErr w:type="spellEnd"/>
      <w:r w:rsidRPr="00021EF7"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/>
          <w:lang w:val="en-US"/>
        </w:rPr>
        <w:t>VAT</w:t>
      </w:r>
      <w:r w:rsidRPr="00021EF7">
        <w:rPr>
          <w:rFonts w:ascii="Calibri" w:hAnsi="Calibri" w:cs="Calibri"/>
          <w:b/>
          <w:lang w:val="en-US"/>
        </w:rPr>
        <w:t>)</w:t>
      </w:r>
    </w:p>
    <w:tbl>
      <w:tblPr>
        <w:tblW w:w="8284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161"/>
        <w:gridCol w:w="3618"/>
      </w:tblGrid>
      <w:tr w:rsidR="00821A0B" w:rsidRPr="0092788B" w:rsidTr="00B21485">
        <w:trPr>
          <w:trHeight w:val="451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A0B" w:rsidRPr="00021EF7" w:rsidRDefault="00821A0B" w:rsidP="00B2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</w:p>
        </w:tc>
        <w:tc>
          <w:tcPr>
            <w:tcW w:w="4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A0B" w:rsidRPr="00E83E7E" w:rsidRDefault="00821A0B" w:rsidP="00B2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  <w:t>Required Reports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1A0B" w:rsidRPr="006F0865" w:rsidRDefault="00821A0B" w:rsidP="00B214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el-GR"/>
              </w:rPr>
              <w:t>Remarks</w:t>
            </w:r>
          </w:p>
        </w:tc>
      </w:tr>
      <w:tr w:rsidR="00821A0B" w:rsidRPr="006F0865" w:rsidTr="00B21485">
        <w:trPr>
          <w:trHeight w:val="765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92788B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4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report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by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an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expert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consultant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engineer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which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proves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that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project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is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complying and it is consistent with the applicable European and National Environmental legislation </w:t>
            </w:r>
          </w:p>
        </w:tc>
        <w:tc>
          <w:tcPr>
            <w:tcW w:w="3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A0B" w:rsidRPr="00E83E7E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It is carried out usually within 1 or 2 weeks depending on the data of the project provided by the investor.</w:t>
            </w:r>
          </w:p>
        </w:tc>
      </w:tr>
      <w:tr w:rsidR="00821A0B" w:rsidRPr="002E229D" w:rsidTr="00B21485">
        <w:trPr>
          <w:trHeight w:val="765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956CDD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Environmental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Impact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Assessment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EIA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)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study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by</w:t>
            </w:r>
            <w:r w:rsidRPr="006F0865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expert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consultants</w:t>
            </w:r>
            <w:r w:rsidRPr="00AD0BDC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engineers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A0B" w:rsidRPr="002E229D" w:rsidRDefault="00821A0B" w:rsidP="00B21485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carry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out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of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this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study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lasts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usually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1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to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3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months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depending on the project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complexitiy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, the conditions of the ambient environment and the design maturity of the project. Moreover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due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time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is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needed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to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issuance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of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the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Environmental</w:t>
            </w:r>
            <w:r w:rsidRPr="002E229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Permit by competent authorities. However, the EIA and the Environmental Permit are not needed for the application to get finance but in a later stage.</w:t>
            </w:r>
          </w:p>
        </w:tc>
      </w:tr>
      <w:tr w:rsidR="00821A0B" w:rsidRPr="006E7EE1" w:rsidTr="00B21485">
        <w:trPr>
          <w:trHeight w:val="510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92788B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lastRenderedPageBreak/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0B" w:rsidRPr="00956CDD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The </w:t>
            </w:r>
            <w:r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Do No Significant Harm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(</w:t>
            </w:r>
            <w:r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DNSH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)</w:t>
            </w:r>
            <w:r w:rsidRPr="00956CDD"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principle application report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A0B" w:rsidRPr="00E83E7E" w:rsidRDefault="00821A0B" w:rsidP="00B21485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el-GR"/>
              </w:rPr>
              <w:t>It is carried out usually within 1 or 2 weeks depending on the data of the project provided by the investor.</w:t>
            </w:r>
          </w:p>
        </w:tc>
      </w:tr>
    </w:tbl>
    <w:p w:rsidR="00821A0B" w:rsidRDefault="00821A0B" w:rsidP="00821A0B">
      <w:pPr>
        <w:jc w:val="both"/>
        <w:rPr>
          <w:rFonts w:ascii="Calibri" w:hAnsi="Calibri" w:cs="Calibri"/>
          <w:lang w:val="en-US"/>
        </w:rPr>
      </w:pPr>
    </w:p>
    <w:p w:rsidR="00821A0B" w:rsidRDefault="00821A0B" w:rsidP="00821A0B">
      <w:pPr>
        <w:jc w:val="both"/>
        <w:rPr>
          <w:rFonts w:ascii="Calibri" w:hAnsi="Calibri" w:cs="Calibri"/>
          <w:lang w:val="en-US"/>
        </w:rPr>
      </w:pPr>
    </w:p>
    <w:p w:rsidR="00821A0B" w:rsidRPr="00DF35E5" w:rsidRDefault="00821A0B" w:rsidP="00821A0B">
      <w:pPr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DF35E5">
        <w:rPr>
          <w:rFonts w:ascii="Calibri" w:hAnsi="Calibri" w:cs="Calibri"/>
          <w:b/>
          <w:sz w:val="24"/>
          <w:szCs w:val="24"/>
          <w:lang w:val="en-US"/>
        </w:rPr>
        <w:t>EXPERIENCE</w:t>
      </w:r>
    </w:p>
    <w:p w:rsidR="00821A0B" w:rsidRDefault="00821A0B" w:rsidP="00821A0B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Our firm has carried out reports for more than 15 investment plans to be included in RRF framework, concerning projects of tourist developments, industrial units, photovoltaics etc.</w:t>
      </w:r>
    </w:p>
    <w:p w:rsidR="00821A0B" w:rsidRPr="00205458" w:rsidRDefault="00821A0B" w:rsidP="00821A0B">
      <w:pPr>
        <w:jc w:val="both"/>
        <w:rPr>
          <w:rFonts w:ascii="Calibri" w:hAnsi="Calibri" w:cs="Calibri"/>
          <w:lang w:val="en-US"/>
        </w:rPr>
      </w:pPr>
    </w:p>
    <w:p w:rsidR="007455B0" w:rsidRPr="00821A0B" w:rsidRDefault="007455B0">
      <w:pPr>
        <w:rPr>
          <w:lang w:val="en-US"/>
        </w:rPr>
      </w:pPr>
    </w:p>
    <w:sectPr w:rsidR="007455B0" w:rsidRPr="00821A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0B"/>
    <w:rsid w:val="00011F09"/>
    <w:rsid w:val="00092D7C"/>
    <w:rsid w:val="00156301"/>
    <w:rsid w:val="00174180"/>
    <w:rsid w:val="0020135F"/>
    <w:rsid w:val="00297022"/>
    <w:rsid w:val="00355DD8"/>
    <w:rsid w:val="003C182F"/>
    <w:rsid w:val="003E74AC"/>
    <w:rsid w:val="003F42CE"/>
    <w:rsid w:val="005D5C6E"/>
    <w:rsid w:val="005E22EB"/>
    <w:rsid w:val="005F529D"/>
    <w:rsid w:val="006929F6"/>
    <w:rsid w:val="006A7634"/>
    <w:rsid w:val="006E4727"/>
    <w:rsid w:val="007455B0"/>
    <w:rsid w:val="0076019B"/>
    <w:rsid w:val="00806580"/>
    <w:rsid w:val="00817F32"/>
    <w:rsid w:val="00821A0B"/>
    <w:rsid w:val="00822BA7"/>
    <w:rsid w:val="00833893"/>
    <w:rsid w:val="00860C07"/>
    <w:rsid w:val="0088395B"/>
    <w:rsid w:val="008A7CE0"/>
    <w:rsid w:val="0097116D"/>
    <w:rsid w:val="00974D76"/>
    <w:rsid w:val="009876A1"/>
    <w:rsid w:val="009E1E50"/>
    <w:rsid w:val="009E645F"/>
    <w:rsid w:val="00A15AA5"/>
    <w:rsid w:val="00AA15C6"/>
    <w:rsid w:val="00B373A1"/>
    <w:rsid w:val="00BC5B81"/>
    <w:rsid w:val="00C30181"/>
    <w:rsid w:val="00C57BEC"/>
    <w:rsid w:val="00D457DA"/>
    <w:rsid w:val="00DA4BC7"/>
    <w:rsid w:val="00DB4E2B"/>
    <w:rsid w:val="00DC098A"/>
    <w:rsid w:val="00DF0E3A"/>
    <w:rsid w:val="00E7252D"/>
    <w:rsid w:val="00E923E9"/>
    <w:rsid w:val="00E94FB9"/>
    <w:rsid w:val="00F55D21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D276-7AAE-47E1-B4E5-5939472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A0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2</cp:revision>
  <dcterms:created xsi:type="dcterms:W3CDTF">2022-08-28T20:35:00Z</dcterms:created>
  <dcterms:modified xsi:type="dcterms:W3CDTF">2022-08-28T20:44:00Z</dcterms:modified>
</cp:coreProperties>
</file>